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17" w:rsidRPr="009E1FC4" w:rsidRDefault="007B3F17" w:rsidP="007B3F17">
      <w:pPr>
        <w:pStyle w:val="date"/>
        <w:shd w:val="clear" w:color="auto" w:fill="FFFFFF"/>
        <w:spacing w:before="240" w:beforeAutospacing="0" w:after="240" w:afterAutospacing="0"/>
        <w:jc w:val="both"/>
        <w:rPr>
          <w:rFonts w:eastAsiaTheme="majorEastAsia"/>
          <w:b/>
          <w:bCs/>
          <w:lang w:eastAsia="en-US"/>
        </w:rPr>
      </w:pPr>
      <w:r w:rsidRPr="009E1FC4">
        <w:rPr>
          <w:rFonts w:eastAsiaTheme="majorEastAsia"/>
          <w:b/>
          <w:bCs/>
          <w:lang w:eastAsia="en-US"/>
        </w:rPr>
        <w:t>10 Haziran 2025</w:t>
      </w:r>
    </w:p>
    <w:p w:rsidR="007B3F17" w:rsidRPr="009E1FC4" w:rsidRDefault="007B3F17" w:rsidP="007B3F17">
      <w:pPr>
        <w:shd w:val="clear" w:color="auto" w:fill="FFFFFF"/>
        <w:spacing w:before="100" w:beforeAutospacing="1" w:after="150" w:line="240" w:lineRule="auto"/>
        <w:jc w:val="both"/>
        <w:rPr>
          <w:rFonts w:ascii="Times New Roman" w:hAnsi="Times New Roman" w:cs="Times New Roman"/>
          <w:color w:val="2C2825"/>
          <w:sz w:val="24"/>
          <w:szCs w:val="24"/>
        </w:rPr>
      </w:pPr>
      <w:r w:rsidRPr="009E1FC4">
        <w:rPr>
          <w:rStyle w:val="Gl"/>
          <w:rFonts w:ascii="Times New Roman" w:hAnsi="Times New Roman" w:cs="Times New Roman"/>
          <w:b w:val="0"/>
          <w:bCs w:val="0"/>
          <w:color w:val="2C2825"/>
          <w:sz w:val="24"/>
          <w:szCs w:val="24"/>
        </w:rPr>
        <w:t>Washington, DC:</w:t>
      </w:r>
      <w:r w:rsidRPr="009E1FC4">
        <w:rPr>
          <w:rFonts w:ascii="Times New Roman" w:hAnsi="Times New Roman" w:cs="Times New Roman"/>
          <w:color w:val="2C2825"/>
          <w:sz w:val="24"/>
          <w:szCs w:val="24"/>
        </w:rPr>
        <w:t xml:space="preserve"> Bayan </w:t>
      </w:r>
      <w:proofErr w:type="spellStart"/>
      <w:r w:rsidRPr="009E1FC4">
        <w:rPr>
          <w:rFonts w:ascii="Times New Roman" w:hAnsi="Times New Roman" w:cs="Times New Roman"/>
          <w:color w:val="2C2825"/>
          <w:sz w:val="24"/>
          <w:szCs w:val="24"/>
        </w:rPr>
        <w:t>Anna</w:t>
      </w:r>
      <w:proofErr w:type="spellEnd"/>
      <w:r w:rsidRPr="009E1FC4">
        <w:rPr>
          <w:rFonts w:ascii="Times New Roman" w:hAnsi="Times New Roman" w:cs="Times New Roman"/>
          <w:color w:val="2C2825"/>
          <w:sz w:val="24"/>
          <w:szCs w:val="24"/>
        </w:rPr>
        <w:t xml:space="preserve"> Bordon liderliğindeki bir Uluslararası Para Fonu (IMF) heyeti 21 Mayıs-3 Haziran 2025 tarihleri ​​arasında Aşkabat'ı ziyaret etti. Ziyaretin amacı, ülkenin finansal gelişmeleri, ekonomik görünümü, riskleri ve çeşitli, kapsayıcı ve sürdürülebilir büyümeyi teşvik etmeyi amaçlayan politikaları da içeren ekonomik manzarasını incelemekti. Heyet, üst düzey hükümet yetkilileri, özel ve finans sektörlerinin temsilcileri ve diplomatik toplulukla bir araya geldi. Ziyaretin sonunda Bayan </w:t>
      </w:r>
      <w:proofErr w:type="spellStart"/>
      <w:r w:rsidRPr="009E1FC4">
        <w:rPr>
          <w:rFonts w:ascii="Times New Roman" w:hAnsi="Times New Roman" w:cs="Times New Roman"/>
          <w:color w:val="2C2825"/>
          <w:sz w:val="24"/>
          <w:szCs w:val="24"/>
        </w:rPr>
        <w:t>Bordon</w:t>
      </w:r>
      <w:r w:rsidRPr="009E1FC4">
        <w:rPr>
          <w:rFonts w:ascii="Times New Roman" w:hAnsi="Times New Roman" w:cs="Times New Roman"/>
          <w:color w:val="2C2825"/>
          <w:sz w:val="24"/>
          <w:szCs w:val="24"/>
        </w:rPr>
        <w:t>’un</w:t>
      </w:r>
      <w:proofErr w:type="spellEnd"/>
      <w:r w:rsidRPr="009E1FC4">
        <w:rPr>
          <w:rFonts w:ascii="Times New Roman" w:hAnsi="Times New Roman" w:cs="Times New Roman"/>
          <w:color w:val="2C2825"/>
          <w:sz w:val="24"/>
          <w:szCs w:val="24"/>
        </w:rPr>
        <w:t xml:space="preserve"> Tespitleri;</w:t>
      </w:r>
    </w:p>
    <w:p w:rsidR="007B3F17" w:rsidRPr="009E1FC4" w:rsidRDefault="007B3F17" w:rsidP="00893402">
      <w:pPr>
        <w:numPr>
          <w:ilvl w:val="0"/>
          <w:numId w:val="1"/>
        </w:numPr>
        <w:shd w:val="clear" w:color="auto" w:fill="FFFFFF"/>
        <w:tabs>
          <w:tab w:val="clear" w:pos="720"/>
          <w:tab w:val="left" w:pos="284"/>
        </w:tabs>
        <w:spacing w:before="100" w:beforeAutospacing="1" w:after="150" w:line="240" w:lineRule="auto"/>
        <w:ind w:left="0" w:firstLine="0"/>
        <w:jc w:val="both"/>
        <w:rPr>
          <w:rFonts w:ascii="Times New Roman" w:hAnsi="Times New Roman" w:cs="Times New Roman"/>
          <w:color w:val="2C2825"/>
          <w:sz w:val="24"/>
          <w:szCs w:val="24"/>
        </w:rPr>
      </w:pPr>
      <w:r w:rsidRPr="009E1FC4">
        <w:rPr>
          <w:rFonts w:ascii="Times New Roman" w:hAnsi="Times New Roman" w:cs="Times New Roman"/>
          <w:color w:val="2C2825"/>
          <w:sz w:val="24"/>
          <w:szCs w:val="24"/>
        </w:rPr>
        <w:t> Zayıf hidrokarbon ihracatı nedeniyle 2024'te büyüme yavaşladı. Başlıca ekonomik zorluk, hidrokarbon zenginliğini daha çeşitlendirilmiş, sürdürülebilir ve kapsayıcı büyümeye dönüştürmektir.</w:t>
      </w:r>
    </w:p>
    <w:p w:rsidR="007B3F17" w:rsidRPr="009E1FC4" w:rsidRDefault="007B3F17" w:rsidP="00893402">
      <w:pPr>
        <w:numPr>
          <w:ilvl w:val="0"/>
          <w:numId w:val="1"/>
        </w:numPr>
        <w:shd w:val="clear" w:color="auto" w:fill="FFFFFF"/>
        <w:tabs>
          <w:tab w:val="clear" w:pos="720"/>
          <w:tab w:val="left" w:pos="284"/>
        </w:tabs>
        <w:spacing w:before="100" w:beforeAutospacing="1" w:after="150" w:line="240" w:lineRule="auto"/>
        <w:ind w:left="0" w:firstLine="0"/>
        <w:jc w:val="both"/>
        <w:rPr>
          <w:rFonts w:ascii="Times New Roman" w:hAnsi="Times New Roman" w:cs="Times New Roman"/>
          <w:color w:val="2C2825"/>
          <w:sz w:val="24"/>
          <w:szCs w:val="24"/>
        </w:rPr>
      </w:pPr>
      <w:r w:rsidRPr="009E1FC4">
        <w:rPr>
          <w:rFonts w:ascii="Times New Roman" w:hAnsi="Times New Roman" w:cs="Times New Roman"/>
          <w:color w:val="2C2825"/>
          <w:sz w:val="24"/>
          <w:szCs w:val="24"/>
        </w:rPr>
        <w:t>Daha fazla piyasa odaklı bir strateji, para ve döviz kuru çerçevelerinde reformlar, kamu harcamalarının verimliliğinin artırılması, yönetişim ve şeffaflığın artırılması, daha çeşitlendirilmiş ve sağlam bir ekonomiye geçişi destekleyecektir.</w:t>
      </w:r>
    </w:p>
    <w:p w:rsidR="007B3F17" w:rsidRPr="009E1FC4" w:rsidRDefault="007B3F17" w:rsidP="008B6B1F">
      <w:pPr>
        <w:numPr>
          <w:ilvl w:val="0"/>
          <w:numId w:val="1"/>
        </w:numPr>
        <w:shd w:val="clear" w:color="auto" w:fill="FFFFFF"/>
        <w:tabs>
          <w:tab w:val="clear" w:pos="720"/>
          <w:tab w:val="left" w:pos="284"/>
        </w:tabs>
        <w:spacing w:before="240" w:after="240" w:line="240" w:lineRule="auto"/>
        <w:ind w:left="0" w:firstLine="0"/>
        <w:jc w:val="both"/>
        <w:rPr>
          <w:rFonts w:ascii="Times New Roman" w:hAnsi="Times New Roman" w:cs="Times New Roman"/>
          <w:color w:val="2C2825"/>
          <w:sz w:val="24"/>
          <w:szCs w:val="24"/>
        </w:rPr>
      </w:pPr>
      <w:r w:rsidRPr="009E1FC4">
        <w:rPr>
          <w:rFonts w:ascii="Times New Roman" w:hAnsi="Times New Roman" w:cs="Times New Roman"/>
          <w:color w:val="2C2825"/>
          <w:sz w:val="24"/>
          <w:szCs w:val="24"/>
        </w:rPr>
        <w:t>Ekonomik istatistiklerin bulunabilirliği, kalitesi ve güvenilirliği konusunda daha fazla iyileştirme yapılması, politika yapıcıların bilgilendirilmesine ve şeffaflık ile güvenilirliğin artırılmasına yardımcı olacaktır.</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 xml:space="preserve">Ekonomik aktivite 2024'te yavaşladı ve enflasyon son aylarda yumuşadı. IMF personeli, zayıf hidrokarbon ihracatı nedeniyle büyümenin 2023'teki %4,5'ten 2024'te %3,0'a yavaşladığını tahmin ediyor. Enflasyon, gıda enflasyonundaki keskin yavaşlamanın gıda dışı kalemlerdeki </w:t>
      </w:r>
      <w:proofErr w:type="gramStart"/>
      <w:r w:rsidRPr="009E1FC4">
        <w:rPr>
          <w:color w:val="2C2825"/>
        </w:rPr>
        <w:t>deflasyon</w:t>
      </w:r>
      <w:proofErr w:type="gramEnd"/>
      <w:r w:rsidRPr="009E1FC4">
        <w:rPr>
          <w:color w:val="2C2825"/>
        </w:rPr>
        <w:t xml:space="preserve"> ve hizmetlerdeki düşük enflasyonla birleşmesi nedeniyle 2024 sonunda %3,8'den Mart 2025'te %1,1'e düştü. Kredi büyümesi ve parasal koşullar 2023'ün ikinci yarısından bu yana daha sıkı seyrederken, paralel piyasa döviz kuru genel olarak sabit kaldı. Cari hesap fazlası, 2023'teki </w:t>
      </w:r>
      <w:proofErr w:type="spellStart"/>
      <w:r w:rsidRPr="009E1FC4">
        <w:rPr>
          <w:color w:val="2C2825"/>
        </w:rPr>
        <w:t>GSYİH'nın</w:t>
      </w:r>
      <w:proofErr w:type="spellEnd"/>
      <w:r w:rsidRPr="009E1FC4">
        <w:rPr>
          <w:color w:val="2C2825"/>
        </w:rPr>
        <w:t xml:space="preserve"> %5,9'undan 2024'te %4,4'e geriledi.</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İleriye bakıldığında ekonominin 2025'te ve orta vadede yaklaşık %2,3 oranında genişlemesi bekleniyor. Hidrokarbon ihracat büyümesinin 2025'te negatif olması bekleniyor, ancak orta vadede kademeli olarak yaklaşık %2'ye çıkması beklenirken, zorlu iş ortamı, yatırım yetersizlikleri, önemli reel döviz kuru aşırı değerlenmesi ve korumacılık göz önüne alındığında, hidrokarbon dışı büyümenin baskılanmış kalması bekleniyor. Enflasyonun, daha gevşek para koşulları nedeniyle orta vadede kademeli olarak artması ve esas olarak kamu sektörü ücretlerini ve emeklilik maaşlarını yıllık %10 artırma yönündeki uzun süredir devam eden politika tarafından desteklenen yakın tarihli %8 ortalamasına geri dönmesi öngörülüyor. Dış pozisyonun, daha düşük hidrokarbon fiyatları, azalan petrol ihracatı ve aşırı değerli bir para birimi tarafından yönlendirilen bir fazlalıktan açığa doğru kademeli olarak kötüleşmesi öngörülüyor. Artan ücretlerin de ithalat talebini artırması ve ticaret dengesini daha da zayıflatması bekleniyor. Görünüme yönelik riskler aşağı yönlü olmaya devam ediyor.</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Hidrokarbon dışı birincil denge 2024'te iyileşti ve daha yüksek gelirler sermaye harcamalarındaki artışı fazlasıyla telafi etti. İleriye bakıldığında, açığın orta vadede daha da daralması ve sermaye harcamalarının ılımlı hale gelmesi bekleniyor. Bu olumlu gidişatı değerlendirmek için Türkmenistan'ın harcamalarını fiziksel ve beşeri sermayeyi artırmaya odaklaması hayati önem taşıyor. Bunun için harcama verimliliğini ve kamu yatırım yönetimini iyileştirmek, performansa dayalı kamu ücret artışlarına geçiş yapmak ve kamuya ait işletmeleri (</w:t>
      </w:r>
      <w:proofErr w:type="spellStart"/>
      <w:r w:rsidRPr="009E1FC4">
        <w:rPr>
          <w:color w:val="2C2825"/>
        </w:rPr>
        <w:t>SOE'ler</w:t>
      </w:r>
      <w:proofErr w:type="spellEnd"/>
      <w:r w:rsidRPr="009E1FC4">
        <w:rPr>
          <w:color w:val="2C2825"/>
        </w:rPr>
        <w:t>) yeniden düzenlemek gerekecek.</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lastRenderedPageBreak/>
        <w:t xml:space="preserve">Mali raporlama ve kamu mali yönetimini (PFM) güçlendirmek en önemli öncelik olmalıdır. Türkmenistan orta vadeli bütçelemenin uygulanmasını, tek bir hazine hesabının kurulmasını ve mali raporlama kapsamının genişletilmesini hızlandırmalıdır. </w:t>
      </w:r>
      <w:proofErr w:type="spellStart"/>
      <w:r w:rsidRPr="009E1FC4">
        <w:rPr>
          <w:color w:val="2C2825"/>
        </w:rPr>
        <w:t>SOE'leri</w:t>
      </w:r>
      <w:proofErr w:type="spellEnd"/>
      <w:r w:rsidRPr="009E1FC4">
        <w:rPr>
          <w:color w:val="2C2825"/>
        </w:rPr>
        <w:t xml:space="preserve"> reform etmek, mali riskleri yönetmede, mali şeffaflığı artırmada ve devletin ayak izini azaltarak özel sektör gelişimini teşvik etmede de önemlidir.</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Türkmenistan Merkez Bankası (TCMB) fiyat ve finansal istikrara odaklanmalıdır. Yakın zamana kadar, TCMB hükümetin uzun vadeli kalkınma hedeflerini desteklemek için para politikasını gevşek tutmuştu. Ancak 2023'ün ikinci yarısından bu yana, TCMB'nin bankalara net kredisi, SOE geri ödemeleri nedeniyle önemli ölçüde yavaşladı. Bundan sonra, kalkınma amaçlı ticari banka kredileri, gerekirse, TCMB tarafından değil, devlet bütçesi tarafından desteklenmelidir. TCMB ayrıca merkez bankası operasyonlarını modernize etmeli ve finansal düzenlemeyi, denetimi ve kriz yönetimini güçlendirme çabalarını hızlandırmalıdır.</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Döviz kurlarının birleştirilmesi Türkmenistan'ın çeşitlendirme hedeflerini destekleyecek ve ekonomik çarpıklıkları ve yönetim zaaflarını azaltacaktır. Türkmenistan, resmi döviz kurunun yeterince sıkı makroekonomik politikalar, net bir iletişim stratejisi ve en savunmasızları korumak için artırılmış sosyal faydalarla birlikte önemli bir ön ayarlamasını değerlendirmelidir. Ayarlamadan sonra, devalüe edilmiş resmi döviz kuru, Merkez Bankası'nın talebi karşılamak için döviz sağlamaya hazır olmasıyla parasal çapa olarak kalabilir. Mevcut uluslararası işlemlerdeki döviz kısıtlamaları da ortadan kaldırılmalı, eşit rekabet ortamı yaratılmalı, verimlilik artırılmalı ve döviz kıtlığı giderilmelidir. Ayarlama önlemleri ve destekleyici reformlar, içsel belirsizlikleri kabul ederken dikkatlice sıralanmalıdır.</w:t>
      </w:r>
    </w:p>
    <w:p w:rsidR="007B3F17"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 xml:space="preserve">Türkmenistan ekonomik çeşitlendirmeye yeterince öncelik veriyor. Çeşitlendirmenin ön koşulu, döviz kurlarının birleştirilmesi ve döviz kısıtlamalarının ortadan kaldırılması gibi temel bir unsur da </w:t>
      </w:r>
      <w:proofErr w:type="gramStart"/>
      <w:r w:rsidRPr="009E1FC4">
        <w:rPr>
          <w:color w:val="2C2825"/>
        </w:rPr>
        <w:t>dahil</w:t>
      </w:r>
      <w:proofErr w:type="gramEnd"/>
      <w:r w:rsidRPr="009E1FC4">
        <w:rPr>
          <w:color w:val="2C2825"/>
        </w:rPr>
        <w:t xml:space="preserve"> olmak üzere makroekonomik istikrardır. Merkezi olarak planlanmış bir ekonomiden uzaklaşmak, fiyatları serbestleştirmek ve kaynakları daha verimli bir şekilde tahsis etmek için devlet ayak izini azaltmak için sürekli çabalar gerektirecektir. Daha piyasa odaklı bir ekonomi, WTO'ya katılım çabalarını hızlandırırken yönetişimi, becerileri, altyapıyı, dijitalleşmeyi ve lojistiği iyileştirmeyi de gerektirecektir.</w:t>
      </w:r>
    </w:p>
    <w:p w:rsidR="009E1FC4" w:rsidRPr="009E1FC4" w:rsidRDefault="007B3F17" w:rsidP="00893402">
      <w:pPr>
        <w:pStyle w:val="NormalWeb"/>
        <w:numPr>
          <w:ilvl w:val="0"/>
          <w:numId w:val="1"/>
        </w:numPr>
        <w:shd w:val="clear" w:color="auto" w:fill="FFFFFF"/>
        <w:tabs>
          <w:tab w:val="clear" w:pos="720"/>
          <w:tab w:val="num" w:pos="284"/>
        </w:tabs>
        <w:spacing w:before="240" w:beforeAutospacing="0" w:after="240" w:afterAutospacing="0"/>
        <w:ind w:left="0" w:firstLine="0"/>
        <w:jc w:val="both"/>
        <w:rPr>
          <w:color w:val="2C2825"/>
        </w:rPr>
      </w:pPr>
      <w:r w:rsidRPr="009E1FC4">
        <w:rPr>
          <w:color w:val="2C2825"/>
        </w:rPr>
        <w:t>Ekonomik istatistiklerin bulunabilirliği, kalitesi ve güvenilirliğinde daha fazla iyileştirme yapılması, politika yapıcıların bilgilendirilmesine ve şeffaflık ile güvenilirliğin artırılmasına yardımcı olacaktır.</w:t>
      </w:r>
    </w:p>
    <w:p w:rsidR="007B3F17" w:rsidRPr="009E1FC4" w:rsidRDefault="007B3F17" w:rsidP="009E1FC4">
      <w:pPr>
        <w:pStyle w:val="NormalWeb"/>
        <w:shd w:val="clear" w:color="auto" w:fill="FFFFFF"/>
        <w:spacing w:before="240" w:beforeAutospacing="0" w:after="240" w:afterAutospacing="0"/>
        <w:jc w:val="both"/>
        <w:rPr>
          <w:color w:val="2C2825"/>
        </w:rPr>
      </w:pPr>
      <w:r w:rsidRPr="009E1FC4">
        <w:rPr>
          <w:color w:val="2C2825"/>
        </w:rPr>
        <w: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4"/>
        <w:gridCol w:w="1276"/>
        <w:gridCol w:w="1275"/>
        <w:gridCol w:w="1134"/>
        <w:gridCol w:w="1276"/>
        <w:gridCol w:w="1423"/>
      </w:tblGrid>
      <w:tr w:rsidR="007B3F17" w:rsidRPr="00893402" w:rsidTr="007F2E64">
        <w:trPr>
          <w:trHeight w:hRule="exact" w:val="340"/>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r w:rsidRPr="00893402">
              <w:rPr>
                <w:rFonts w:ascii="Times New Roman" w:eastAsia="Times New Roman" w:hAnsi="Times New Roman" w:cs="Times New Roman"/>
                <w:color w:val="2C2825"/>
                <w:sz w:val="20"/>
                <w:szCs w:val="20"/>
                <w:lang w:eastAsia="tr-TR"/>
              </w:rPr>
              <w:t>Yıl</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2022</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2023</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2024</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2025</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2026</w:t>
            </w:r>
          </w:p>
        </w:tc>
      </w:tr>
      <w:tr w:rsidR="007B3F17" w:rsidRPr="00893402" w:rsidTr="007F2E64">
        <w:trPr>
          <w:trHeight w:hRule="exact" w:val="340"/>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 Çıktı ve fiyatlar</w:t>
            </w:r>
          </w:p>
        </w:tc>
        <w:tc>
          <w:tcPr>
            <w:tcW w:w="2551" w:type="dxa"/>
            <w:gridSpan w:val="2"/>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(Yıllık yüzdelik değişim)</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r>
      <w:tr w:rsidR="007B3F17" w:rsidRPr="00893402" w:rsidTr="007F2E64">
        <w:trPr>
          <w:trHeight w:hRule="exact" w:val="340"/>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Reel GSYİH 1/</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3.0</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4.5</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3.0</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2.3</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2.3</w:t>
            </w:r>
          </w:p>
        </w:tc>
      </w:tr>
      <w:tr w:rsidR="007B3F17" w:rsidRPr="00893402" w:rsidTr="007F2E64">
        <w:trPr>
          <w:trHeight w:hRule="exact" w:val="340"/>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Gerçek hidrokarbon GSYİH</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-6,4</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-0,6</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-10.6</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-2.6</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1.8</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Gerçek hidrokarbon dışı GSYİH</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5.2</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5.6</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5.7</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3.0</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2.3</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Tüketici fiyatları (dönem sonu)</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3.0</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1.4</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3.8</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4.0</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6.0</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Tüketici fiyatları (dönem ortalaması)</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11.2</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-1.6</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4.6</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3.9</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5.0</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Yatırım ve tasarruf</w:t>
            </w:r>
          </w:p>
        </w:tc>
        <w:tc>
          <w:tcPr>
            <w:tcW w:w="2551" w:type="dxa"/>
            <w:gridSpan w:val="2"/>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w:t>
            </w:r>
            <w:proofErr w:type="spellStart"/>
            <w:r w:rsidRPr="004F24BB">
              <w:rPr>
                <w:rFonts w:ascii="Times New Roman" w:eastAsia="Times New Roman" w:hAnsi="Times New Roman" w:cs="Times New Roman"/>
                <w:color w:val="2C2825"/>
                <w:sz w:val="20"/>
                <w:szCs w:val="20"/>
                <w:lang w:eastAsia="tr-TR"/>
              </w:rPr>
              <w:t>GSYİH'nın</w:t>
            </w:r>
            <w:proofErr w:type="spellEnd"/>
            <w:r w:rsidRPr="004F24BB">
              <w:rPr>
                <w:rFonts w:ascii="Times New Roman" w:eastAsia="Times New Roman" w:hAnsi="Times New Roman" w:cs="Times New Roman"/>
                <w:color w:val="2C2825"/>
                <w:sz w:val="20"/>
                <w:szCs w:val="20"/>
                <w:lang w:eastAsia="tr-TR"/>
              </w:rPr>
              <w:t xml:space="preserve"> yüzdesi olarak)</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lastRenderedPageBreak/>
              <w:t>Brüt yatırım</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18.2</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17.0</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16.0</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13.0</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12.9</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i/>
                <w:iCs/>
                <w:color w:val="2C2825"/>
                <w:sz w:val="20"/>
                <w:szCs w:val="20"/>
                <w:lang w:eastAsia="tr-TR"/>
              </w:rPr>
              <w:t>         Bunlardan:</w:t>
            </w:r>
            <w:r w:rsidRPr="004F24BB">
              <w:rPr>
                <w:rFonts w:ascii="Times New Roman" w:eastAsia="Times New Roman" w:hAnsi="Times New Roman" w:cs="Times New Roman"/>
                <w:color w:val="2C2825"/>
                <w:sz w:val="20"/>
                <w:szCs w:val="20"/>
                <w:lang w:eastAsia="tr-TR"/>
              </w:rPr>
              <w:t> Devlet bütçesi</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0,5</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0,9</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1.6</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0,7</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0,7</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Brüt tasarruf</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27.9</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22.9</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20.4</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15.1</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13.3</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Mali sektör</w:t>
            </w:r>
          </w:p>
        </w:tc>
        <w:tc>
          <w:tcPr>
            <w:tcW w:w="2551" w:type="dxa"/>
            <w:gridSpan w:val="2"/>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w:t>
            </w:r>
            <w:proofErr w:type="spellStart"/>
            <w:r w:rsidRPr="004F24BB">
              <w:rPr>
                <w:rFonts w:ascii="Times New Roman" w:eastAsia="Times New Roman" w:hAnsi="Times New Roman" w:cs="Times New Roman"/>
                <w:color w:val="2C2825"/>
                <w:sz w:val="20"/>
                <w:szCs w:val="20"/>
                <w:lang w:eastAsia="tr-TR"/>
              </w:rPr>
              <w:t>GSYİH'nın</w:t>
            </w:r>
            <w:proofErr w:type="spellEnd"/>
            <w:r w:rsidRPr="004F24BB">
              <w:rPr>
                <w:rFonts w:ascii="Times New Roman" w:eastAsia="Times New Roman" w:hAnsi="Times New Roman" w:cs="Times New Roman"/>
                <w:color w:val="2C2825"/>
                <w:sz w:val="20"/>
                <w:szCs w:val="20"/>
                <w:lang w:eastAsia="tr-TR"/>
              </w:rPr>
              <w:t xml:space="preserve"> yüzdesi olarak)</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Genel mali denge 2/</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3.4</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0,1</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-0,1</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0,3</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-0,3</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Hasılat</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16.4</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13.8</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14.4</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14.1</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13.7</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Harcama</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13.0</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13.7</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14.5</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13.8</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14.1</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Toplam kamu borcu 3/</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7.9</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5.8</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3.6</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3.3</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3.1</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Para sektörü</w:t>
            </w:r>
          </w:p>
        </w:tc>
        <w:tc>
          <w:tcPr>
            <w:tcW w:w="4961" w:type="dxa"/>
            <w:gridSpan w:val="4"/>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(Aksi belirtilmediği takdirde 12 aylık yüzdelik değişim)</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Ekonomiye kredi 4/</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8.2</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0,3</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2.2</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5.4</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5.9</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Kredi/GSYİH oranı</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58.6</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53.1</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49.6</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49.9</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49.6</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xml:space="preserve">    Merkez Bankası'ndaki yabancı para mevduatları </w:t>
            </w:r>
            <w:proofErr w:type="gramStart"/>
            <w:r w:rsidRPr="004F24BB">
              <w:rPr>
                <w:rFonts w:ascii="Times New Roman" w:eastAsia="Times New Roman" w:hAnsi="Times New Roman" w:cs="Times New Roman"/>
                <w:color w:val="2C2825"/>
                <w:sz w:val="20"/>
                <w:szCs w:val="20"/>
                <w:lang w:eastAsia="tr-TR"/>
              </w:rPr>
              <w:t>dahil</w:t>
            </w:r>
            <w:proofErr w:type="gramEnd"/>
            <w:r w:rsidRPr="004F24BB">
              <w:rPr>
                <w:rFonts w:ascii="Times New Roman" w:eastAsia="Times New Roman" w:hAnsi="Times New Roman" w:cs="Times New Roman"/>
                <w:color w:val="2C2825"/>
                <w:sz w:val="20"/>
                <w:szCs w:val="20"/>
                <w:lang w:eastAsia="tr-TR"/>
              </w:rPr>
              <w:t xml:space="preserve"> geniş para</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-2.6</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-2,5</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10.1</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5.3</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6.7</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color w:val="2C2825"/>
                <w:sz w:val="20"/>
                <w:szCs w:val="20"/>
                <w:lang w:eastAsia="tr-TR"/>
              </w:rPr>
              <w:t>Dış sektör</w:t>
            </w:r>
          </w:p>
        </w:tc>
        <w:tc>
          <w:tcPr>
            <w:tcW w:w="3685" w:type="dxa"/>
            <w:gridSpan w:val="3"/>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xml:space="preserve">(Aksi belirtilmediği takdirde </w:t>
            </w:r>
            <w:proofErr w:type="spellStart"/>
            <w:r w:rsidRPr="004F24BB">
              <w:rPr>
                <w:rFonts w:ascii="Times New Roman" w:eastAsia="Times New Roman" w:hAnsi="Times New Roman" w:cs="Times New Roman"/>
                <w:color w:val="2C2825"/>
                <w:sz w:val="20"/>
                <w:szCs w:val="20"/>
                <w:lang w:eastAsia="tr-TR"/>
              </w:rPr>
              <w:t>GSYİH'nın</w:t>
            </w:r>
            <w:proofErr w:type="spellEnd"/>
            <w:r w:rsidRPr="004F24BB">
              <w:rPr>
                <w:rFonts w:ascii="Times New Roman" w:eastAsia="Times New Roman" w:hAnsi="Times New Roman" w:cs="Times New Roman"/>
                <w:color w:val="2C2825"/>
                <w:sz w:val="20"/>
                <w:szCs w:val="20"/>
                <w:lang w:eastAsia="tr-TR"/>
              </w:rPr>
              <w:t xml:space="preserve"> yüzdesi olarak)</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Mal ihracatı (Milyon ABD$ olarak)</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14.727</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12.963</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12.168</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11.218</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11.068</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Mal ithalatı (Milyon ABD$ olarak)</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7.188</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7.401</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7.665</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8.407</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9.085</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Cari hesap bakiyesi</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9.7</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5.9</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4.4</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2.1</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0,4</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Yabancı doğrudan yatırım</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2.0</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0,9</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0,4</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0.0</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0.0</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Toplam kamu sektörü dış borcu</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7.9</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5.8</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3.6</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3.3</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3.1</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893402">
              <w:rPr>
                <w:rFonts w:ascii="Times New Roman" w:eastAsia="Times New Roman" w:hAnsi="Times New Roman" w:cs="Times New Roman"/>
                <w:i/>
                <w:iCs/>
                <w:color w:val="2C2825"/>
                <w:sz w:val="20"/>
                <w:szCs w:val="20"/>
                <w:lang w:eastAsia="tr-TR"/>
              </w:rPr>
              <w:t>Muhtıra maddeleri:</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275" w:type="dxa"/>
            <w:shd w:val="clear" w:color="auto" w:fill="FFFFFF"/>
            <w:vAlign w:val="center"/>
            <w:hideMark/>
          </w:tcPr>
          <w:p w:rsidR="007B3F17" w:rsidRPr="004F24BB" w:rsidRDefault="007B3F17" w:rsidP="00970724">
            <w:pPr>
              <w:spacing w:after="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134" w:type="dxa"/>
            <w:shd w:val="clear" w:color="auto" w:fill="FFFFFF"/>
            <w:vAlign w:val="center"/>
            <w:hideMark/>
          </w:tcPr>
          <w:p w:rsidR="007B3F17" w:rsidRPr="004F24BB" w:rsidRDefault="007B3F17" w:rsidP="00970724">
            <w:pPr>
              <w:spacing w:after="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276" w:type="dxa"/>
            <w:shd w:val="clear" w:color="auto" w:fill="FFFFFF"/>
            <w:vAlign w:val="center"/>
            <w:hideMark/>
          </w:tcPr>
          <w:p w:rsidR="007B3F17" w:rsidRPr="004F24BB" w:rsidRDefault="007B3F17" w:rsidP="00970724">
            <w:pPr>
              <w:spacing w:after="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 </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Nominal GSYİH (milyon manat olarak)</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198.371</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219.848</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240.363</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251.884</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268.110</w:t>
            </w:r>
          </w:p>
        </w:tc>
      </w:tr>
      <w:tr w:rsidR="007B3F17" w:rsidRPr="00893402" w:rsidTr="007F2E64">
        <w:trPr>
          <w:trHeight w:val="284"/>
        </w:trPr>
        <w:tc>
          <w:tcPr>
            <w:tcW w:w="311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Nominal GSYİH (milyon ABD$ olarak)</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56.677</w:t>
            </w:r>
          </w:p>
        </w:tc>
        <w:tc>
          <w:tcPr>
            <w:tcW w:w="1275"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62.814</w:t>
            </w:r>
          </w:p>
        </w:tc>
        <w:tc>
          <w:tcPr>
            <w:tcW w:w="1134"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68.675</w:t>
            </w:r>
          </w:p>
        </w:tc>
        <w:tc>
          <w:tcPr>
            <w:tcW w:w="1276"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71.967</w:t>
            </w:r>
          </w:p>
        </w:tc>
        <w:tc>
          <w:tcPr>
            <w:tcW w:w="1418" w:type="dxa"/>
            <w:shd w:val="clear" w:color="auto" w:fill="FFFFFF"/>
            <w:vAlign w:val="center"/>
            <w:hideMark/>
          </w:tcPr>
          <w:p w:rsidR="007B3F17" w:rsidRPr="004F24BB" w:rsidRDefault="007B3F17" w:rsidP="00970724">
            <w:pPr>
              <w:spacing w:before="120" w:after="120" w:line="240" w:lineRule="auto"/>
              <w:rPr>
                <w:rFonts w:ascii="Times New Roman" w:eastAsia="Times New Roman" w:hAnsi="Times New Roman" w:cs="Times New Roman"/>
                <w:color w:val="2C2825"/>
                <w:sz w:val="20"/>
                <w:szCs w:val="20"/>
                <w:lang w:eastAsia="tr-TR"/>
              </w:rPr>
            </w:pPr>
            <w:r w:rsidRPr="004F24BB">
              <w:rPr>
                <w:rFonts w:ascii="Times New Roman" w:eastAsia="Times New Roman" w:hAnsi="Times New Roman" w:cs="Times New Roman"/>
                <w:color w:val="2C2825"/>
                <w:sz w:val="20"/>
                <w:szCs w:val="20"/>
                <w:lang w:eastAsia="tr-TR"/>
              </w:rPr>
              <w:t>76.603</w:t>
            </w:r>
          </w:p>
        </w:tc>
      </w:tr>
      <w:tr w:rsidR="007B3F17" w:rsidRPr="007F2E64" w:rsidTr="007F2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9498" w:type="dxa"/>
            <w:gridSpan w:val="6"/>
            <w:shd w:val="clear" w:color="auto" w:fill="FFFFFF"/>
            <w:vAlign w:val="center"/>
            <w:hideMark/>
          </w:tcPr>
          <w:p w:rsidR="007B3F17" w:rsidRPr="00C22DB6" w:rsidRDefault="007B3F17" w:rsidP="007B3F17">
            <w:pPr>
              <w:spacing w:before="120" w:after="120" w:line="240" w:lineRule="auto"/>
              <w:jc w:val="both"/>
              <w:rPr>
                <w:rFonts w:ascii="Times New Roman" w:eastAsia="Times New Roman" w:hAnsi="Times New Roman" w:cs="Times New Roman"/>
                <w:color w:val="2C2825"/>
                <w:sz w:val="24"/>
                <w:szCs w:val="24"/>
                <w:lang w:eastAsia="tr-TR"/>
              </w:rPr>
            </w:pPr>
            <w:bookmarkStart w:id="0" w:name="_GoBack"/>
            <w:bookmarkEnd w:id="0"/>
            <w:r w:rsidRPr="00C22DB6">
              <w:rPr>
                <w:rFonts w:ascii="Times New Roman" w:eastAsia="Times New Roman" w:hAnsi="Times New Roman" w:cs="Times New Roman"/>
                <w:color w:val="2C2825"/>
                <w:sz w:val="24"/>
                <w:szCs w:val="24"/>
                <w:lang w:eastAsia="tr-TR"/>
              </w:rPr>
              <w:t>Kaynaklar: Türkmenis</w:t>
            </w:r>
            <w:r w:rsidRPr="007F2E64">
              <w:rPr>
                <w:rFonts w:ascii="Times New Roman" w:eastAsia="Times New Roman" w:hAnsi="Times New Roman" w:cs="Times New Roman"/>
                <w:color w:val="2C2825"/>
                <w:sz w:val="24"/>
                <w:szCs w:val="24"/>
                <w:lang w:eastAsia="tr-TR"/>
              </w:rPr>
              <w:t>tan makamları; Fon personelinin t</w:t>
            </w:r>
            <w:r w:rsidRPr="00C22DB6">
              <w:rPr>
                <w:rFonts w:ascii="Times New Roman" w:eastAsia="Times New Roman" w:hAnsi="Times New Roman" w:cs="Times New Roman"/>
                <w:color w:val="2C2825"/>
                <w:sz w:val="24"/>
                <w:szCs w:val="24"/>
                <w:lang w:eastAsia="tr-TR"/>
              </w:rPr>
              <w:t>ahminleri ve projeksiyonları.</w:t>
            </w:r>
          </w:p>
        </w:tc>
      </w:tr>
      <w:tr w:rsidR="007B3F17" w:rsidRPr="007F2E64" w:rsidTr="007F2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6"/>
            <w:shd w:val="clear" w:color="auto" w:fill="FFFFFF"/>
            <w:vAlign w:val="center"/>
            <w:hideMark/>
          </w:tcPr>
          <w:p w:rsidR="007B3F17" w:rsidRPr="00C22DB6" w:rsidRDefault="007B3F17" w:rsidP="00893402">
            <w:pPr>
              <w:spacing w:before="120" w:after="120" w:line="240" w:lineRule="auto"/>
              <w:jc w:val="both"/>
              <w:rPr>
                <w:rFonts w:ascii="Times New Roman" w:eastAsia="Times New Roman" w:hAnsi="Times New Roman" w:cs="Times New Roman"/>
                <w:color w:val="2C2825"/>
                <w:sz w:val="24"/>
                <w:szCs w:val="24"/>
                <w:lang w:eastAsia="tr-TR"/>
              </w:rPr>
            </w:pPr>
            <w:r w:rsidRPr="00C22DB6">
              <w:rPr>
                <w:rFonts w:ascii="Times New Roman" w:eastAsia="Times New Roman" w:hAnsi="Times New Roman" w:cs="Times New Roman"/>
                <w:color w:val="2C2825"/>
                <w:sz w:val="24"/>
                <w:szCs w:val="24"/>
                <w:lang w:eastAsia="tr-TR"/>
              </w:rPr>
              <w:t xml:space="preserve">1/ Personel, resmi GSYİH büyüme tahminlerinin altında yatan anlatının diğer mevcut verilerle uzlaştırılmasının zor olması nedeniyle kendi GSYİH tahminlerini kullanır. Özellikle, </w:t>
            </w:r>
            <w:proofErr w:type="spellStart"/>
            <w:r w:rsidRPr="00C22DB6">
              <w:rPr>
                <w:rFonts w:ascii="Times New Roman" w:eastAsia="Times New Roman" w:hAnsi="Times New Roman" w:cs="Times New Roman"/>
                <w:color w:val="2C2825"/>
                <w:sz w:val="24"/>
                <w:szCs w:val="24"/>
                <w:lang w:eastAsia="tr-TR"/>
              </w:rPr>
              <w:t>pandemi</w:t>
            </w:r>
            <w:proofErr w:type="spellEnd"/>
            <w:r w:rsidRPr="00C22DB6">
              <w:rPr>
                <w:rFonts w:ascii="Times New Roman" w:eastAsia="Times New Roman" w:hAnsi="Times New Roman" w:cs="Times New Roman"/>
                <w:color w:val="2C2825"/>
                <w:sz w:val="24"/>
                <w:szCs w:val="24"/>
                <w:lang w:eastAsia="tr-TR"/>
              </w:rPr>
              <w:t xml:space="preserve"> de </w:t>
            </w:r>
            <w:proofErr w:type="gramStart"/>
            <w:r w:rsidRPr="00C22DB6">
              <w:rPr>
                <w:rFonts w:ascii="Times New Roman" w:eastAsia="Times New Roman" w:hAnsi="Times New Roman" w:cs="Times New Roman"/>
                <w:color w:val="2C2825"/>
                <w:sz w:val="24"/>
                <w:szCs w:val="24"/>
                <w:lang w:eastAsia="tr-TR"/>
              </w:rPr>
              <w:t>dahil</w:t>
            </w:r>
            <w:proofErr w:type="gramEnd"/>
            <w:r w:rsidRPr="00C22DB6">
              <w:rPr>
                <w:rFonts w:ascii="Times New Roman" w:eastAsia="Times New Roman" w:hAnsi="Times New Roman" w:cs="Times New Roman"/>
                <w:color w:val="2C2825"/>
                <w:sz w:val="24"/>
                <w:szCs w:val="24"/>
                <w:lang w:eastAsia="tr-TR"/>
              </w:rPr>
              <w:t xml:space="preserve"> olmak üzere şoklara rağmen resmi GSYİH büyümesi son derece istikrarlıdır.</w:t>
            </w:r>
          </w:p>
        </w:tc>
      </w:tr>
      <w:tr w:rsidR="007B3F17" w:rsidRPr="007F2E64" w:rsidTr="007F2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6"/>
            <w:shd w:val="clear" w:color="auto" w:fill="FFFFFF"/>
            <w:vAlign w:val="center"/>
            <w:hideMark/>
          </w:tcPr>
          <w:p w:rsidR="007B3F17" w:rsidRPr="00C22DB6" w:rsidRDefault="007B3F17" w:rsidP="007B3F17">
            <w:pPr>
              <w:spacing w:before="120" w:after="120" w:line="240" w:lineRule="auto"/>
              <w:rPr>
                <w:rFonts w:ascii="Times New Roman" w:eastAsia="Times New Roman" w:hAnsi="Times New Roman" w:cs="Times New Roman"/>
                <w:color w:val="2C2825"/>
                <w:sz w:val="24"/>
                <w:szCs w:val="24"/>
                <w:lang w:eastAsia="tr-TR"/>
              </w:rPr>
            </w:pPr>
            <w:r w:rsidRPr="00C22DB6">
              <w:rPr>
                <w:rFonts w:ascii="Times New Roman" w:eastAsia="Times New Roman" w:hAnsi="Times New Roman" w:cs="Times New Roman"/>
                <w:color w:val="2C2825"/>
                <w:sz w:val="24"/>
                <w:szCs w:val="24"/>
                <w:lang w:eastAsia="tr-TR"/>
              </w:rPr>
              <w:lastRenderedPageBreak/>
              <w:t>2/ Devlet tahvili ihracından elde edilen gelirler ve özelleştirme gelirleri hariç.</w:t>
            </w:r>
          </w:p>
        </w:tc>
      </w:tr>
      <w:tr w:rsidR="007B3F17" w:rsidRPr="007F2E64" w:rsidTr="007F2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6"/>
            <w:shd w:val="clear" w:color="auto" w:fill="FFFFFF"/>
            <w:vAlign w:val="center"/>
            <w:hideMark/>
          </w:tcPr>
          <w:p w:rsidR="007B3F17" w:rsidRPr="00C22DB6" w:rsidRDefault="007B3F17" w:rsidP="007B3F17">
            <w:pPr>
              <w:spacing w:before="120" w:after="120" w:line="240" w:lineRule="auto"/>
              <w:rPr>
                <w:rFonts w:ascii="Times New Roman" w:eastAsia="Times New Roman" w:hAnsi="Times New Roman" w:cs="Times New Roman"/>
                <w:color w:val="2C2825"/>
                <w:sz w:val="24"/>
                <w:szCs w:val="24"/>
                <w:lang w:eastAsia="tr-TR"/>
              </w:rPr>
            </w:pPr>
            <w:r w:rsidRPr="00C22DB6">
              <w:rPr>
                <w:rFonts w:ascii="Times New Roman" w:eastAsia="Times New Roman" w:hAnsi="Times New Roman" w:cs="Times New Roman"/>
                <w:color w:val="2C2825"/>
                <w:sz w:val="24"/>
                <w:szCs w:val="24"/>
                <w:lang w:eastAsia="tr-TR"/>
              </w:rPr>
              <w:t>3/ Yurt içi devlet borçları ile yurt dışı kamu ve kamu garantili borçları içerir.</w:t>
            </w:r>
          </w:p>
        </w:tc>
      </w:tr>
      <w:tr w:rsidR="007B3F17" w:rsidRPr="007F2E64" w:rsidTr="007F2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6"/>
            <w:shd w:val="clear" w:color="auto" w:fill="FFFFFF"/>
            <w:vAlign w:val="center"/>
            <w:hideMark/>
          </w:tcPr>
          <w:p w:rsidR="007B3F17" w:rsidRPr="00C22DB6" w:rsidRDefault="007B3F17" w:rsidP="007B3F17">
            <w:pPr>
              <w:spacing w:before="120" w:after="120" w:line="240" w:lineRule="auto"/>
              <w:rPr>
                <w:rFonts w:ascii="Times New Roman" w:eastAsia="Times New Roman" w:hAnsi="Times New Roman" w:cs="Times New Roman"/>
                <w:sz w:val="24"/>
                <w:szCs w:val="24"/>
                <w:lang w:eastAsia="tr-TR"/>
              </w:rPr>
            </w:pPr>
            <w:r w:rsidRPr="00C22DB6">
              <w:rPr>
                <w:rFonts w:ascii="Times New Roman" w:eastAsia="Times New Roman" w:hAnsi="Times New Roman" w:cs="Times New Roman"/>
                <w:color w:val="2C2825"/>
                <w:sz w:val="24"/>
                <w:szCs w:val="24"/>
                <w:lang w:eastAsia="tr-TR"/>
              </w:rPr>
              <w:t xml:space="preserve">4/ Kamu iktisadi teşebbüslerine verilen krediler </w:t>
            </w:r>
            <w:proofErr w:type="gramStart"/>
            <w:r w:rsidRPr="00C22DB6">
              <w:rPr>
                <w:rFonts w:ascii="Times New Roman" w:eastAsia="Times New Roman" w:hAnsi="Times New Roman" w:cs="Times New Roman"/>
                <w:color w:val="2C2825"/>
                <w:sz w:val="24"/>
                <w:szCs w:val="24"/>
                <w:lang w:eastAsia="tr-TR"/>
              </w:rPr>
              <w:t>dahil</w:t>
            </w:r>
            <w:proofErr w:type="gramEnd"/>
            <w:r w:rsidRPr="00C22DB6">
              <w:rPr>
                <w:rFonts w:ascii="Times New Roman" w:eastAsia="Times New Roman" w:hAnsi="Times New Roman" w:cs="Times New Roman"/>
                <w:color w:val="2C2825"/>
                <w:sz w:val="24"/>
                <w:szCs w:val="24"/>
                <w:lang w:eastAsia="tr-TR"/>
              </w:rPr>
              <w:t>.</w:t>
            </w:r>
            <w:r w:rsidRPr="007F2E64">
              <w:rPr>
                <w:rFonts w:ascii="Times New Roman" w:eastAsia="Times New Roman" w:hAnsi="Times New Roman" w:cs="Times New Roman"/>
                <w:i/>
                <w:iCs/>
                <w:color w:val="2C2825"/>
                <w:sz w:val="24"/>
                <w:szCs w:val="24"/>
                <w:lang w:eastAsia="tr-TR"/>
              </w:rPr>
              <w:t> </w:t>
            </w:r>
          </w:p>
        </w:tc>
      </w:tr>
    </w:tbl>
    <w:p w:rsidR="004974CA" w:rsidRPr="007F2E64" w:rsidRDefault="004974CA">
      <w:pPr>
        <w:rPr>
          <w:rFonts w:ascii="Times New Roman" w:hAnsi="Times New Roman" w:cs="Times New Roman"/>
          <w:sz w:val="24"/>
          <w:szCs w:val="24"/>
        </w:rPr>
      </w:pPr>
    </w:p>
    <w:sectPr w:rsidR="004974CA" w:rsidRPr="007F2E64" w:rsidSect="007B3F17">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40C56"/>
    <w:multiLevelType w:val="multilevel"/>
    <w:tmpl w:val="F15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17"/>
    <w:rsid w:val="004974CA"/>
    <w:rsid w:val="007B3F17"/>
    <w:rsid w:val="007F2E64"/>
    <w:rsid w:val="00893402"/>
    <w:rsid w:val="009E1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1B11"/>
  <w15:chartTrackingRefBased/>
  <w15:docId w15:val="{682D2D87-FBF6-4D2C-9B9C-AAA2C5F3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17"/>
  </w:style>
  <w:style w:type="paragraph" w:styleId="Balk2">
    <w:name w:val="heading 2"/>
    <w:basedOn w:val="Normal"/>
    <w:next w:val="Normal"/>
    <w:link w:val="Balk2Char"/>
    <w:uiPriority w:val="9"/>
    <w:semiHidden/>
    <w:unhideWhenUsed/>
    <w:qFormat/>
    <w:rsid w:val="007B3F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B3F1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B3F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3F17"/>
    <w:rPr>
      <w:b/>
      <w:bCs/>
    </w:rPr>
  </w:style>
  <w:style w:type="paragraph" w:customStyle="1" w:styleId="date">
    <w:name w:val="date"/>
    <w:basedOn w:val="Normal"/>
    <w:rsid w:val="007B3F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6FC2-A754-47EE-A408-F3ADA051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1221</Words>
  <Characters>6966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2025-06-13T11:57:00Z</dcterms:created>
  <dcterms:modified xsi:type="dcterms:W3CDTF">2025-06-13T12:11:00Z</dcterms:modified>
</cp:coreProperties>
</file>